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8D4" w:rsidRPr="009758D4" w:rsidRDefault="009758D4" w:rsidP="009758D4">
      <w:pPr>
        <w:jc w:val="both"/>
        <w:rPr>
          <w:rFonts w:ascii="Arial" w:hAnsi="Arial" w:cs="Arial"/>
          <w:b/>
          <w:bCs/>
          <w:sz w:val="20"/>
          <w:szCs w:val="20"/>
        </w:rPr>
      </w:pPr>
      <w:bookmarkStart w:id="0" w:name="_GoBack"/>
      <w:r w:rsidRPr="009758D4">
        <w:rPr>
          <w:rFonts w:ascii="Arial" w:hAnsi="Arial" w:cs="Arial"/>
          <w:b/>
          <w:bCs/>
          <w:sz w:val="20"/>
          <w:szCs w:val="20"/>
        </w:rPr>
        <w:t>ANEXO FAX 335/14 – ITEM 4 DO EDITAL</w:t>
      </w:r>
    </w:p>
    <w:bookmarkEnd w:id="0"/>
    <w:p w:rsidR="009758D4" w:rsidRPr="009758D4" w:rsidRDefault="009758D4" w:rsidP="009758D4">
      <w:pPr>
        <w:tabs>
          <w:tab w:val="left" w:pos="709"/>
        </w:tabs>
        <w:jc w:val="both"/>
        <w:rPr>
          <w:rFonts w:ascii="Arial" w:hAnsi="Arial" w:cs="Arial"/>
          <w:b/>
          <w:bCs/>
          <w:sz w:val="20"/>
          <w:szCs w:val="20"/>
        </w:rPr>
      </w:pPr>
    </w:p>
    <w:p w:rsidR="009758D4" w:rsidRPr="009758D4" w:rsidRDefault="009758D4" w:rsidP="009758D4">
      <w:pPr>
        <w:numPr>
          <w:ilvl w:val="0"/>
          <w:numId w:val="1"/>
        </w:numPr>
        <w:tabs>
          <w:tab w:val="left" w:pos="709"/>
        </w:tabs>
        <w:jc w:val="both"/>
        <w:rPr>
          <w:rFonts w:ascii="Arial" w:hAnsi="Arial" w:cs="Arial"/>
          <w:b/>
          <w:bCs/>
          <w:sz w:val="20"/>
          <w:szCs w:val="20"/>
        </w:rPr>
      </w:pPr>
      <w:r w:rsidRPr="009758D4">
        <w:rPr>
          <w:rFonts w:ascii="Arial" w:hAnsi="Arial" w:cs="Arial"/>
          <w:b/>
          <w:bCs/>
          <w:sz w:val="20"/>
          <w:szCs w:val="20"/>
        </w:rPr>
        <w:t>DA PARTICIPAÇÃO</w:t>
      </w:r>
    </w:p>
    <w:p w:rsidR="009758D4" w:rsidRPr="009758D4" w:rsidRDefault="009758D4" w:rsidP="009758D4">
      <w:pPr>
        <w:tabs>
          <w:tab w:val="left" w:pos="1134"/>
        </w:tabs>
        <w:ind w:left="567" w:hanging="567"/>
        <w:jc w:val="both"/>
        <w:rPr>
          <w:rFonts w:ascii="Arial" w:hAnsi="Arial" w:cs="Arial"/>
          <w:b/>
          <w:bCs/>
          <w:sz w:val="20"/>
          <w:szCs w:val="20"/>
        </w:rPr>
      </w:pPr>
    </w:p>
    <w:p w:rsidR="009758D4" w:rsidRPr="009758D4" w:rsidRDefault="009758D4" w:rsidP="009758D4">
      <w:pPr>
        <w:numPr>
          <w:ilvl w:val="1"/>
          <w:numId w:val="2"/>
        </w:numPr>
        <w:tabs>
          <w:tab w:val="left" w:pos="709"/>
          <w:tab w:val="left" w:pos="2694"/>
        </w:tabs>
        <w:ind w:left="709" w:hanging="709"/>
        <w:jc w:val="both"/>
        <w:rPr>
          <w:rFonts w:ascii="Arial" w:hAnsi="Arial" w:cs="Arial"/>
          <w:sz w:val="20"/>
          <w:szCs w:val="20"/>
        </w:rPr>
      </w:pPr>
      <w:r w:rsidRPr="009758D4">
        <w:rPr>
          <w:rFonts w:ascii="Arial" w:hAnsi="Arial" w:cs="Arial"/>
          <w:sz w:val="20"/>
          <w:szCs w:val="20"/>
        </w:rPr>
        <w:t xml:space="preserve">Poderão participar do RDC Eletrônico, empresas do ramo pertinente e compatível com o objeto desta licitação, individuais, que estejam previamente credenciados na Secretaria de Logística e Tecnologia da Informação - SLTI (provedor do sistema), através do sítio </w:t>
      </w:r>
      <w:r w:rsidRPr="009758D4">
        <w:rPr>
          <w:rStyle w:val="Hyperlink"/>
          <w:rFonts w:ascii="Arial" w:hAnsi="Arial" w:cs="Arial"/>
          <w:color w:val="auto"/>
          <w:sz w:val="20"/>
          <w:szCs w:val="20"/>
        </w:rPr>
        <w:t>www.comprasgovernamentais.gov.br</w:t>
      </w:r>
      <w:r w:rsidRPr="009758D4">
        <w:rPr>
          <w:rFonts w:ascii="Arial" w:hAnsi="Arial" w:cs="Arial"/>
          <w:sz w:val="20"/>
          <w:szCs w:val="20"/>
        </w:rPr>
        <w:t xml:space="preserve"> para acesso ao sistema eletrônico.</w:t>
      </w:r>
    </w:p>
    <w:p w:rsidR="009758D4" w:rsidRPr="009758D4" w:rsidRDefault="009758D4" w:rsidP="009758D4">
      <w:pPr>
        <w:tabs>
          <w:tab w:val="left" w:pos="709"/>
          <w:tab w:val="left" w:pos="2694"/>
        </w:tabs>
        <w:jc w:val="both"/>
        <w:rPr>
          <w:rFonts w:ascii="Arial" w:hAnsi="Arial" w:cs="Arial"/>
          <w:sz w:val="20"/>
          <w:szCs w:val="20"/>
        </w:rPr>
      </w:pPr>
    </w:p>
    <w:p w:rsidR="009758D4" w:rsidRPr="009758D4" w:rsidRDefault="009758D4" w:rsidP="009758D4">
      <w:pPr>
        <w:pStyle w:val="ListParagraph"/>
        <w:numPr>
          <w:ilvl w:val="1"/>
          <w:numId w:val="2"/>
        </w:numPr>
        <w:tabs>
          <w:tab w:val="left" w:pos="709"/>
        </w:tabs>
        <w:ind w:left="709" w:hanging="709"/>
        <w:jc w:val="both"/>
        <w:rPr>
          <w:rFonts w:ascii="Arial" w:hAnsi="Arial" w:cs="Arial"/>
        </w:rPr>
      </w:pPr>
      <w:r w:rsidRPr="009758D4">
        <w:rPr>
          <w:rFonts w:ascii="Arial" w:hAnsi="Arial" w:cs="Arial"/>
        </w:rPr>
        <w:t>Para participação no RDC Eletrônico, o licitante deverá manifestar, em campo próprio do sistema eletrônico, que cumpre plenamente os requisitos de habilitação e que sua proposta está em conformidade com as exigências do instrumento convocatório.</w:t>
      </w:r>
    </w:p>
    <w:p w:rsidR="009758D4" w:rsidRPr="009758D4" w:rsidRDefault="009758D4" w:rsidP="009758D4">
      <w:pPr>
        <w:pStyle w:val="ListParagraph"/>
        <w:tabs>
          <w:tab w:val="left" w:pos="709"/>
        </w:tabs>
        <w:ind w:left="709" w:hanging="709"/>
        <w:jc w:val="both"/>
        <w:rPr>
          <w:rFonts w:ascii="Arial" w:hAnsi="Arial" w:cs="Arial"/>
        </w:rPr>
      </w:pPr>
    </w:p>
    <w:p w:rsidR="009758D4" w:rsidRPr="009758D4" w:rsidRDefault="009758D4" w:rsidP="009758D4">
      <w:pPr>
        <w:pStyle w:val="ListParagraph"/>
        <w:numPr>
          <w:ilvl w:val="1"/>
          <w:numId w:val="2"/>
        </w:numPr>
        <w:tabs>
          <w:tab w:val="left" w:pos="709"/>
        </w:tabs>
        <w:ind w:left="709" w:hanging="709"/>
        <w:jc w:val="both"/>
        <w:rPr>
          <w:rFonts w:ascii="Arial" w:hAnsi="Arial" w:cs="Arial"/>
        </w:rPr>
      </w:pPr>
      <w:r w:rsidRPr="009758D4">
        <w:rPr>
          <w:rFonts w:ascii="Arial" w:hAnsi="Arial" w:cs="Arial"/>
        </w:rPr>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p>
    <w:p w:rsidR="009758D4" w:rsidRPr="009758D4" w:rsidRDefault="009758D4" w:rsidP="009758D4">
      <w:pPr>
        <w:pStyle w:val="ListParagraph"/>
        <w:tabs>
          <w:tab w:val="left" w:pos="709"/>
        </w:tabs>
        <w:ind w:left="709" w:hanging="709"/>
        <w:jc w:val="both"/>
        <w:rPr>
          <w:rFonts w:ascii="Arial" w:hAnsi="Arial" w:cs="Arial"/>
        </w:rPr>
      </w:pPr>
    </w:p>
    <w:p w:rsidR="009758D4" w:rsidRPr="009758D4" w:rsidRDefault="009758D4" w:rsidP="009758D4">
      <w:pPr>
        <w:pStyle w:val="ListParagraph"/>
        <w:numPr>
          <w:ilvl w:val="1"/>
          <w:numId w:val="2"/>
        </w:numPr>
        <w:tabs>
          <w:tab w:val="left" w:pos="709"/>
        </w:tabs>
        <w:ind w:left="709" w:hanging="709"/>
        <w:jc w:val="both"/>
        <w:rPr>
          <w:rFonts w:ascii="Arial" w:hAnsi="Arial" w:cs="Arial"/>
        </w:rPr>
      </w:pPr>
      <w:r w:rsidRPr="009758D4">
        <w:rPr>
          <w:rFonts w:ascii="Arial" w:hAnsi="Arial" w:cs="Arial"/>
        </w:rPr>
        <w:t xml:space="preserve">Será permitida a subcontratação dos serviços pertencentes ao objeto desta licitação, com anuência prévia da </w:t>
      </w:r>
      <w:proofErr w:type="spellStart"/>
      <w:r w:rsidRPr="009758D4">
        <w:rPr>
          <w:rFonts w:ascii="Arial" w:hAnsi="Arial" w:cs="Arial"/>
        </w:rPr>
        <w:t>Codevasf</w:t>
      </w:r>
      <w:proofErr w:type="spellEnd"/>
      <w:r w:rsidRPr="009758D4">
        <w:rPr>
          <w:rFonts w:ascii="Arial" w:hAnsi="Arial" w:cs="Arial"/>
        </w:rPr>
        <w:t>, art. 10 do Decreto nº 7.581/11.</w:t>
      </w:r>
    </w:p>
    <w:p w:rsidR="009758D4" w:rsidRPr="009758D4" w:rsidRDefault="009758D4" w:rsidP="009758D4">
      <w:pPr>
        <w:pStyle w:val="ListParagraph"/>
        <w:tabs>
          <w:tab w:val="left" w:pos="709"/>
        </w:tabs>
        <w:ind w:left="709"/>
        <w:jc w:val="both"/>
        <w:rPr>
          <w:rFonts w:ascii="Arial" w:hAnsi="Arial" w:cs="Arial"/>
        </w:rPr>
      </w:pPr>
    </w:p>
    <w:p w:rsidR="009758D4" w:rsidRPr="009758D4" w:rsidRDefault="009758D4" w:rsidP="009758D4">
      <w:pPr>
        <w:tabs>
          <w:tab w:val="left" w:pos="709"/>
        </w:tabs>
        <w:ind w:left="709" w:hanging="709"/>
        <w:jc w:val="both"/>
        <w:rPr>
          <w:rFonts w:ascii="Arial" w:hAnsi="Arial" w:cs="Arial"/>
          <w:sz w:val="20"/>
          <w:szCs w:val="20"/>
        </w:rPr>
      </w:pPr>
      <w:r w:rsidRPr="009758D4">
        <w:rPr>
          <w:rFonts w:ascii="Arial" w:hAnsi="Arial" w:cs="Arial"/>
          <w:sz w:val="20"/>
          <w:szCs w:val="20"/>
        </w:rPr>
        <w:t>4.4.1.  Será permitida a subcontratação de parte da obra ou serviço objeto deste Edital, para as atividades que não constituem item relevante do</w:t>
      </w:r>
      <w:proofErr w:type="gramStart"/>
      <w:r w:rsidRPr="009758D4">
        <w:rPr>
          <w:rFonts w:ascii="Arial" w:hAnsi="Arial" w:cs="Arial"/>
          <w:sz w:val="20"/>
          <w:szCs w:val="20"/>
        </w:rPr>
        <w:t xml:space="preserve">  </w:t>
      </w:r>
      <w:proofErr w:type="gramEnd"/>
      <w:r w:rsidRPr="009758D4">
        <w:rPr>
          <w:rFonts w:ascii="Arial" w:hAnsi="Arial" w:cs="Arial"/>
          <w:sz w:val="20"/>
          <w:szCs w:val="20"/>
        </w:rPr>
        <w:t>objeto desta licitação, até o limite de 20% (vinte por cento) do valor contratado.</w:t>
      </w:r>
    </w:p>
    <w:p w:rsidR="009758D4" w:rsidRPr="009758D4" w:rsidRDefault="009758D4" w:rsidP="009758D4">
      <w:pPr>
        <w:pStyle w:val="ListParagraph"/>
        <w:tabs>
          <w:tab w:val="left" w:pos="709"/>
        </w:tabs>
        <w:ind w:left="709"/>
        <w:jc w:val="both"/>
        <w:rPr>
          <w:rFonts w:ascii="Arial" w:hAnsi="Arial" w:cs="Arial"/>
        </w:rPr>
      </w:pPr>
    </w:p>
    <w:p w:rsidR="009758D4" w:rsidRPr="009758D4" w:rsidRDefault="009758D4" w:rsidP="009758D4">
      <w:pPr>
        <w:pStyle w:val="ListParagraph"/>
        <w:tabs>
          <w:tab w:val="left" w:pos="709"/>
        </w:tabs>
        <w:ind w:left="709" w:hanging="709"/>
        <w:jc w:val="both"/>
        <w:rPr>
          <w:rFonts w:ascii="Arial" w:hAnsi="Arial" w:cs="Arial"/>
        </w:rPr>
      </w:pPr>
      <w:r w:rsidRPr="009758D4">
        <w:rPr>
          <w:rFonts w:ascii="Arial" w:hAnsi="Arial" w:cs="Arial"/>
        </w:rPr>
        <w:t xml:space="preserve">4.4.2. </w:t>
      </w:r>
      <w:r w:rsidRPr="009758D4">
        <w:rPr>
          <w:rFonts w:ascii="Arial" w:hAnsi="Arial" w:cs="Arial"/>
          <w:b/>
        </w:rPr>
        <w:t>Será permitida a subcontratação dos serviços de montagem mecânica, elétrica, limpeza do espelho d’água e pré-operação pertencentes ao objeto desta licitação</w:t>
      </w:r>
      <w:r w:rsidRPr="009758D4">
        <w:rPr>
          <w:rFonts w:ascii="Arial" w:hAnsi="Arial" w:cs="Arial"/>
        </w:rPr>
        <w:t>.</w:t>
      </w:r>
    </w:p>
    <w:p w:rsidR="009758D4" w:rsidRPr="009758D4" w:rsidRDefault="009758D4" w:rsidP="009758D4">
      <w:pPr>
        <w:pStyle w:val="ListParagraph"/>
        <w:tabs>
          <w:tab w:val="left" w:pos="709"/>
        </w:tabs>
        <w:ind w:left="709" w:hanging="709"/>
        <w:jc w:val="both"/>
        <w:rPr>
          <w:rFonts w:ascii="Arial" w:hAnsi="Arial" w:cs="Arial"/>
        </w:rPr>
      </w:pPr>
    </w:p>
    <w:p w:rsidR="009758D4" w:rsidRPr="009758D4" w:rsidRDefault="009758D4" w:rsidP="009758D4">
      <w:pPr>
        <w:tabs>
          <w:tab w:val="left" w:pos="709"/>
          <w:tab w:val="left" w:pos="2694"/>
        </w:tabs>
        <w:ind w:left="709" w:hanging="709"/>
        <w:jc w:val="both"/>
        <w:rPr>
          <w:rFonts w:ascii="Arial" w:hAnsi="Arial" w:cs="Arial"/>
          <w:sz w:val="20"/>
          <w:szCs w:val="20"/>
        </w:rPr>
      </w:pPr>
      <w:r w:rsidRPr="009758D4">
        <w:rPr>
          <w:rFonts w:ascii="Arial" w:hAnsi="Arial" w:cs="Arial"/>
          <w:sz w:val="20"/>
          <w:szCs w:val="20"/>
        </w:rPr>
        <w:t>4.4.3</w:t>
      </w:r>
      <w:r w:rsidRPr="009758D4">
        <w:rPr>
          <w:rFonts w:ascii="Arial" w:hAnsi="Arial" w:cs="Arial"/>
          <w:sz w:val="20"/>
          <w:szCs w:val="20"/>
        </w:rPr>
        <w:t>.</w:t>
      </w:r>
      <w:r w:rsidRPr="009758D4">
        <w:rPr>
          <w:rFonts w:ascii="Arial" w:hAnsi="Arial" w:cs="Arial"/>
          <w:sz w:val="20"/>
          <w:szCs w:val="20"/>
        </w:rPr>
        <w:t xml:space="preserve"> Caso ocorra a subcontratação citada no subitem 4.4.2, deverá ser observado o privilégio estabelecido às microempresas e empresas de pequeno porte nos termos do art. 48, inciso II da Lei n°123/06, alterado pela lei complementar nº 147/2014.</w:t>
      </w:r>
    </w:p>
    <w:p w:rsidR="009758D4" w:rsidRPr="009758D4" w:rsidRDefault="009758D4" w:rsidP="009758D4">
      <w:pPr>
        <w:pStyle w:val="ListParagraph"/>
        <w:tabs>
          <w:tab w:val="left" w:pos="709"/>
        </w:tabs>
        <w:ind w:left="709"/>
        <w:jc w:val="both"/>
        <w:rPr>
          <w:rFonts w:ascii="Arial" w:hAnsi="Arial" w:cs="Arial"/>
        </w:rPr>
      </w:pPr>
    </w:p>
    <w:p w:rsidR="009758D4" w:rsidRPr="009758D4" w:rsidRDefault="009758D4" w:rsidP="009758D4">
      <w:pPr>
        <w:tabs>
          <w:tab w:val="left" w:pos="709"/>
        </w:tabs>
        <w:ind w:left="709" w:hanging="709"/>
        <w:jc w:val="both"/>
        <w:rPr>
          <w:rFonts w:ascii="Arial" w:hAnsi="Arial" w:cs="Arial"/>
          <w:sz w:val="20"/>
          <w:szCs w:val="20"/>
        </w:rPr>
      </w:pPr>
      <w:r w:rsidRPr="009758D4">
        <w:rPr>
          <w:rFonts w:ascii="Arial" w:hAnsi="Arial" w:cs="Arial"/>
          <w:sz w:val="20"/>
          <w:szCs w:val="20"/>
        </w:rPr>
        <w:t>4.4.4. Caso a licitante faça opção de subcontratação de parte da obra ou serviço objeto deste Edital, deverá registrar em campo próprio no momento de envio de sua proposta via Sistema www.comprasgovernamentais.gov.br.</w:t>
      </w:r>
    </w:p>
    <w:p w:rsidR="009758D4" w:rsidRPr="009758D4" w:rsidRDefault="009758D4" w:rsidP="009758D4">
      <w:pPr>
        <w:tabs>
          <w:tab w:val="left" w:pos="709"/>
        </w:tabs>
        <w:ind w:left="709"/>
        <w:rPr>
          <w:rFonts w:ascii="Arial" w:hAnsi="Arial" w:cs="Arial"/>
          <w:sz w:val="20"/>
          <w:szCs w:val="20"/>
        </w:rPr>
      </w:pPr>
    </w:p>
    <w:p w:rsidR="009758D4" w:rsidRPr="009758D4" w:rsidRDefault="009758D4" w:rsidP="009758D4">
      <w:pPr>
        <w:tabs>
          <w:tab w:val="left" w:pos="709"/>
        </w:tabs>
        <w:ind w:left="709" w:hanging="709"/>
        <w:rPr>
          <w:rFonts w:ascii="Arial" w:hAnsi="Arial" w:cs="Arial"/>
          <w:sz w:val="20"/>
          <w:szCs w:val="20"/>
        </w:rPr>
      </w:pPr>
      <w:r w:rsidRPr="009758D4">
        <w:rPr>
          <w:rFonts w:ascii="Arial" w:hAnsi="Arial" w:cs="Arial"/>
          <w:sz w:val="20"/>
          <w:szCs w:val="20"/>
        </w:rPr>
        <w:t>4.4.5.  É vedada a subcontratação total do objeto.</w:t>
      </w:r>
    </w:p>
    <w:p w:rsidR="009758D4" w:rsidRPr="009758D4" w:rsidRDefault="009758D4" w:rsidP="009758D4">
      <w:pPr>
        <w:tabs>
          <w:tab w:val="left" w:pos="709"/>
        </w:tabs>
        <w:ind w:left="709"/>
        <w:jc w:val="both"/>
        <w:rPr>
          <w:rFonts w:ascii="Arial" w:hAnsi="Arial" w:cs="Arial"/>
          <w:sz w:val="20"/>
          <w:szCs w:val="20"/>
        </w:rPr>
      </w:pPr>
      <w:r w:rsidRPr="009758D4">
        <w:rPr>
          <w:rFonts w:ascii="Arial" w:hAnsi="Arial" w:cs="Arial"/>
          <w:sz w:val="20"/>
          <w:szCs w:val="20"/>
        </w:rPr>
        <w:t xml:space="preserve"> </w:t>
      </w:r>
    </w:p>
    <w:p w:rsidR="009758D4" w:rsidRPr="009758D4" w:rsidRDefault="009758D4" w:rsidP="009758D4">
      <w:pPr>
        <w:tabs>
          <w:tab w:val="left" w:pos="709"/>
        </w:tabs>
        <w:ind w:left="709" w:hanging="709"/>
        <w:jc w:val="both"/>
        <w:rPr>
          <w:rFonts w:ascii="Arial" w:hAnsi="Arial" w:cs="Arial"/>
          <w:sz w:val="20"/>
          <w:szCs w:val="20"/>
        </w:rPr>
      </w:pPr>
      <w:r w:rsidRPr="009758D4">
        <w:rPr>
          <w:rFonts w:ascii="Arial" w:hAnsi="Arial" w:cs="Arial"/>
          <w:sz w:val="20"/>
          <w:szCs w:val="20"/>
        </w:rPr>
        <w:t>4.4.6. A subcontratação não exclui a responsabilidade do contratado perante a administração pública quanto à qualidade técnica da obra ou serviço prestado e de suas responsabilidades contratuais e legais.</w:t>
      </w:r>
    </w:p>
    <w:p w:rsidR="009758D4" w:rsidRPr="009758D4" w:rsidRDefault="009758D4" w:rsidP="009758D4">
      <w:pPr>
        <w:pStyle w:val="ListParagraph"/>
        <w:tabs>
          <w:tab w:val="left" w:pos="709"/>
        </w:tabs>
        <w:ind w:left="709"/>
        <w:jc w:val="both"/>
        <w:rPr>
          <w:rFonts w:ascii="Arial" w:hAnsi="Arial" w:cs="Arial"/>
        </w:rPr>
      </w:pPr>
    </w:p>
    <w:p w:rsidR="009758D4" w:rsidRPr="009758D4" w:rsidRDefault="009758D4" w:rsidP="009758D4">
      <w:pPr>
        <w:pStyle w:val="ListParagraph"/>
        <w:tabs>
          <w:tab w:val="left" w:pos="709"/>
        </w:tabs>
        <w:ind w:left="709" w:hanging="709"/>
        <w:jc w:val="both"/>
        <w:rPr>
          <w:rFonts w:ascii="Arial" w:hAnsi="Arial" w:cs="Arial"/>
        </w:rPr>
      </w:pPr>
      <w:r w:rsidRPr="009758D4">
        <w:rPr>
          <w:rFonts w:ascii="Arial" w:hAnsi="Arial" w:cs="Arial"/>
        </w:rPr>
        <w:t xml:space="preserve">4.4.7.  A empresa de melhor proposta/classificada deverá apresentar à </w:t>
      </w:r>
      <w:proofErr w:type="spellStart"/>
      <w:r w:rsidRPr="009758D4">
        <w:rPr>
          <w:rFonts w:ascii="Arial" w:hAnsi="Arial" w:cs="Arial"/>
        </w:rPr>
        <w:t>Codevasf</w:t>
      </w:r>
      <w:proofErr w:type="spellEnd"/>
      <w:r w:rsidRPr="009758D4">
        <w:rPr>
          <w:rFonts w:ascii="Arial" w:hAnsi="Arial" w:cs="Arial"/>
        </w:rPr>
        <w:t xml:space="preserve">, na fase de habilitação, a documentação do subcontratado que comprove sua habilitação jurídica, regularidade fiscal e a </w:t>
      </w:r>
      <w:r w:rsidRPr="009758D4">
        <w:rPr>
          <w:rFonts w:ascii="Arial" w:hAnsi="Arial" w:cs="Arial"/>
          <w:b/>
        </w:rPr>
        <w:t>qualificação técnica</w:t>
      </w:r>
      <w:r w:rsidRPr="009758D4">
        <w:rPr>
          <w:rFonts w:ascii="Arial" w:hAnsi="Arial" w:cs="Arial"/>
        </w:rPr>
        <w:t xml:space="preserve"> necessária à execução da parcela da obra ou do serviço subcontratado e declaração de que os responsáveis técnicos ou sócios não constam funcionários, empregados ou ocupantes de cargo comissionado na</w:t>
      </w:r>
      <w:proofErr w:type="gramStart"/>
      <w:r w:rsidRPr="009758D4">
        <w:rPr>
          <w:rFonts w:ascii="Arial" w:hAnsi="Arial" w:cs="Arial"/>
        </w:rPr>
        <w:t xml:space="preserve">  </w:t>
      </w:r>
      <w:proofErr w:type="spellStart"/>
      <w:proofErr w:type="gramEnd"/>
      <w:r w:rsidRPr="009758D4">
        <w:rPr>
          <w:rFonts w:ascii="Arial" w:hAnsi="Arial" w:cs="Arial"/>
        </w:rPr>
        <w:t>Codevasf</w:t>
      </w:r>
      <w:proofErr w:type="spellEnd"/>
      <w:r w:rsidRPr="009758D4">
        <w:rPr>
          <w:rFonts w:ascii="Arial" w:hAnsi="Arial" w:cs="Arial"/>
        </w:rPr>
        <w:t>.</w:t>
      </w:r>
    </w:p>
    <w:p w:rsidR="009758D4" w:rsidRPr="009758D4" w:rsidRDefault="009758D4" w:rsidP="009758D4">
      <w:pPr>
        <w:pStyle w:val="ListParagraph"/>
        <w:tabs>
          <w:tab w:val="left" w:pos="709"/>
        </w:tabs>
        <w:ind w:left="709"/>
        <w:jc w:val="both"/>
        <w:rPr>
          <w:rFonts w:ascii="Arial" w:hAnsi="Arial" w:cs="Arial"/>
        </w:rPr>
      </w:pPr>
    </w:p>
    <w:p w:rsidR="009758D4" w:rsidRPr="009758D4" w:rsidRDefault="009758D4" w:rsidP="009758D4">
      <w:pPr>
        <w:pStyle w:val="ListParagraph"/>
        <w:tabs>
          <w:tab w:val="left" w:pos="709"/>
        </w:tabs>
        <w:ind w:left="709" w:hanging="709"/>
        <w:jc w:val="both"/>
        <w:rPr>
          <w:rFonts w:ascii="Arial" w:hAnsi="Arial" w:cs="Arial"/>
        </w:rPr>
      </w:pPr>
      <w:r w:rsidRPr="009758D4">
        <w:rPr>
          <w:rFonts w:ascii="Arial" w:hAnsi="Arial" w:cs="Arial"/>
        </w:rPr>
        <w:t>4.4.8. A empresa subcontratada deverá comprovar a qualificação técnica mediante a apresentação de atestados de ter executados serviços similares à parcela da obra ou do serviço que será subcontratado.</w:t>
      </w:r>
    </w:p>
    <w:p w:rsidR="009758D4" w:rsidRPr="009758D4" w:rsidRDefault="009758D4" w:rsidP="009758D4">
      <w:pPr>
        <w:tabs>
          <w:tab w:val="left" w:pos="709"/>
          <w:tab w:val="left" w:pos="2694"/>
        </w:tabs>
        <w:ind w:left="709"/>
        <w:jc w:val="both"/>
        <w:rPr>
          <w:rFonts w:ascii="Arial" w:hAnsi="Arial" w:cs="Arial"/>
          <w:sz w:val="20"/>
          <w:szCs w:val="20"/>
        </w:rPr>
      </w:pPr>
    </w:p>
    <w:p w:rsidR="009758D4" w:rsidRPr="009758D4" w:rsidRDefault="009758D4" w:rsidP="009758D4">
      <w:pPr>
        <w:pStyle w:val="SubItem"/>
        <w:numPr>
          <w:ilvl w:val="1"/>
          <w:numId w:val="2"/>
        </w:numPr>
        <w:tabs>
          <w:tab w:val="left" w:pos="709"/>
          <w:tab w:val="left" w:pos="1200"/>
        </w:tabs>
        <w:spacing w:before="0"/>
        <w:ind w:left="709" w:hanging="709"/>
        <w:jc w:val="both"/>
        <w:rPr>
          <w:rFonts w:cs="Arial"/>
          <w:sz w:val="20"/>
          <w:szCs w:val="20"/>
        </w:rPr>
      </w:pPr>
      <w:r w:rsidRPr="009758D4">
        <w:rPr>
          <w:rFonts w:cs="Arial"/>
          <w:sz w:val="20"/>
          <w:szCs w:val="20"/>
        </w:rPr>
        <w:t xml:space="preserve">Poderá ser permitido que a(s) licitante(s) vencedora(s) ou contratada(s) sofra(m) processo de Fusão, Incorporação ou Cisão, desde que sejam observadas pela(s) nova(s) empresa(s) os requisitos de Habilitação e que sejam mantidas as condições estabelecidas no(s) contrato(s) </w:t>
      </w:r>
      <w:proofErr w:type="gramStart"/>
      <w:r w:rsidRPr="009758D4">
        <w:rPr>
          <w:rFonts w:cs="Arial"/>
          <w:sz w:val="20"/>
          <w:szCs w:val="20"/>
        </w:rPr>
        <w:t>original(</w:t>
      </w:r>
      <w:proofErr w:type="spellStart"/>
      <w:proofErr w:type="gramEnd"/>
      <w:r w:rsidRPr="009758D4">
        <w:rPr>
          <w:rFonts w:cs="Arial"/>
          <w:sz w:val="20"/>
          <w:szCs w:val="20"/>
        </w:rPr>
        <w:t>is</w:t>
      </w:r>
      <w:proofErr w:type="spellEnd"/>
      <w:r w:rsidRPr="009758D4">
        <w:rPr>
          <w:rFonts w:cs="Arial"/>
          <w:sz w:val="20"/>
          <w:szCs w:val="20"/>
        </w:rPr>
        <w:t xml:space="preserve">), quando já contratado, sendo que, em qualquer uma das hipóteses, a </w:t>
      </w:r>
      <w:proofErr w:type="spellStart"/>
      <w:r w:rsidRPr="009758D4">
        <w:rPr>
          <w:rFonts w:cs="Arial"/>
          <w:sz w:val="20"/>
          <w:szCs w:val="20"/>
        </w:rPr>
        <w:t>Codevasf</w:t>
      </w:r>
      <w:proofErr w:type="spellEnd"/>
      <w:r w:rsidRPr="009758D4">
        <w:rPr>
          <w:rFonts w:cs="Arial"/>
          <w:sz w:val="20"/>
          <w:szCs w:val="20"/>
        </w:rPr>
        <w:t xml:space="preserve"> deverá ser notificada do processo e deliberará sobre a sua aceitação, ou não, condicionada à análise por parte da Administração quanto à possibilidade de riscos de insucesso. </w:t>
      </w:r>
    </w:p>
    <w:p w:rsidR="00AC28AF" w:rsidRPr="009758D4" w:rsidRDefault="00AC28AF">
      <w:pPr>
        <w:rPr>
          <w:sz w:val="20"/>
          <w:szCs w:val="20"/>
        </w:rPr>
      </w:pPr>
    </w:p>
    <w:p w:rsidR="009758D4" w:rsidRPr="009758D4" w:rsidRDefault="009758D4">
      <w:pPr>
        <w:rPr>
          <w:sz w:val="20"/>
          <w:szCs w:val="20"/>
        </w:rPr>
      </w:pPr>
    </w:p>
    <w:sectPr w:rsidR="009758D4" w:rsidRPr="009758D4" w:rsidSect="009758D4">
      <w:pgSz w:w="11906" w:h="16838"/>
      <w:pgMar w:top="851" w:right="991"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115FA"/>
    <w:multiLevelType w:val="multilevel"/>
    <w:tmpl w:val="AFEC874A"/>
    <w:lvl w:ilvl="0">
      <w:start w:val="4"/>
      <w:numFmt w:val="decimal"/>
      <w:lvlText w:val="%1."/>
      <w:lvlJc w:val="left"/>
      <w:pPr>
        <w:ind w:left="0" w:firstLine="0"/>
      </w:pPr>
      <w:rPr>
        <w:rFonts w:ascii="Arial" w:hAnsi="Arial" w:hint="default"/>
        <w:sz w:val="22"/>
      </w:rPr>
    </w:lvl>
    <w:lvl w:ilvl="1">
      <w:start w:val="1"/>
      <w:numFmt w:val="decimal"/>
      <w:lvlText w:val="%1.%2."/>
      <w:lvlJc w:val="left"/>
      <w:pPr>
        <w:ind w:left="0" w:firstLine="0"/>
      </w:pPr>
      <w:rPr>
        <w:rFonts w:ascii="Arial" w:hAnsi="Arial" w:cs="Arial" w:hint="default"/>
        <w:b w:val="0"/>
      </w:rPr>
    </w:lvl>
    <w:lvl w:ilvl="2">
      <w:start w:val="1"/>
      <w:numFmt w:val="decimal"/>
      <w:lvlText w:val="%1.%2.%3."/>
      <w:lvlJc w:val="left"/>
      <w:pPr>
        <w:ind w:left="0" w:firstLine="0"/>
      </w:pPr>
      <w:rPr>
        <w:rFonts w:ascii="Times New Roman" w:hAnsi="Times New Roman" w:cs="Times New Roman" w:hint="default"/>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num w:numId="1">
    <w:abstractNumId w:val="0"/>
  </w:num>
  <w:num w:numId="2">
    <w:abstractNumId w:val="0"/>
    <w:lvlOverride w:ilvl="0">
      <w:lvl w:ilvl="0">
        <w:start w:val="1"/>
        <w:numFmt w:val="decimal"/>
        <w:lvlText w:val="%1."/>
        <w:legacy w:legacy="1" w:legacySpace="0" w:legacyIndent="0"/>
        <w:lvlJc w:val="left"/>
        <w:rPr>
          <w:rFonts w:ascii="Times New Roman" w:hAnsi="Times New Roman" w:cs="Times New Roman"/>
        </w:rPr>
      </w:lvl>
    </w:lvlOverride>
    <w:lvlOverride w:ilvl="1">
      <w:lvl w:ilvl="1">
        <w:start w:val="1"/>
        <w:numFmt w:val="decimal"/>
        <w:lvlText w:val="%1.%2."/>
        <w:legacy w:legacy="1" w:legacySpace="0" w:legacyIndent="0"/>
        <w:lvlJc w:val="left"/>
        <w:rPr>
          <w:rFonts w:ascii="Arial" w:hAnsi="Arial" w:cs="Arial"/>
          <w:b w:val="0"/>
          <w:color w:val="auto"/>
        </w:rPr>
      </w:lvl>
    </w:lvlOverride>
    <w:lvlOverride w:ilvl="2">
      <w:lvl w:ilvl="2">
        <w:start w:val="1"/>
        <w:numFmt w:val="decimal"/>
        <w:lvlText w:val="%1.%2.%3."/>
        <w:legacy w:legacy="1" w:legacySpace="0" w:legacyIndent="0"/>
        <w:lvlJc w:val="left"/>
        <w:rPr>
          <w:rFonts w:ascii="Arial" w:hAnsi="Arial" w:cs="Arial" w:hint="default"/>
          <w:b w:val="0"/>
        </w:rPr>
      </w:lvl>
    </w:lvlOverride>
    <w:lvlOverride w:ilvl="3">
      <w:lvl w:ilvl="3">
        <w:start w:val="1"/>
        <w:numFmt w:val="decimal"/>
        <w:lvlText w:val="%1.%2.%3.%4."/>
        <w:legacy w:legacy="1" w:legacySpace="0" w:legacyIndent="0"/>
        <w:lvlJc w:val="left"/>
        <w:rPr>
          <w:rFonts w:ascii="Times New Roman" w:hAnsi="Times New Roman" w:cs="Times New Roman"/>
        </w:rPr>
      </w:lvl>
    </w:lvlOverride>
    <w:lvlOverride w:ilvl="4">
      <w:lvl w:ilvl="4">
        <w:start w:val="1"/>
        <w:numFmt w:val="decimal"/>
        <w:lvlText w:val="%1.%2.%3.%4.%5."/>
        <w:legacy w:legacy="1" w:legacySpace="0" w:legacyIndent="0"/>
        <w:lvlJc w:val="left"/>
        <w:rPr>
          <w:rFonts w:ascii="Times New Roman" w:hAnsi="Times New Roman" w:cs="Times New Roman"/>
        </w:rPr>
      </w:lvl>
    </w:lvlOverride>
    <w:lvlOverride w:ilvl="5">
      <w:lvl w:ilvl="5">
        <w:start w:val="1"/>
        <w:numFmt w:val="decimal"/>
        <w:lvlText w:val="%1.%2.%3.%4.%5.%6."/>
        <w:legacy w:legacy="1" w:legacySpace="0" w:legacyIndent="0"/>
        <w:lvlJc w:val="left"/>
        <w:rPr>
          <w:rFonts w:ascii="Times New Roman" w:hAnsi="Times New Roman" w:cs="Times New Roman"/>
        </w:rPr>
      </w:lvl>
    </w:lvlOverride>
    <w:lvlOverride w:ilvl="6">
      <w:lvl w:ilvl="6">
        <w:start w:val="1"/>
        <w:numFmt w:val="decimal"/>
        <w:lvlText w:val="%1.%2.%3.%4.%5.%6.%7."/>
        <w:legacy w:legacy="1" w:legacySpace="0" w:legacyIndent="0"/>
        <w:lvlJc w:val="left"/>
        <w:rPr>
          <w:rFonts w:ascii="Times New Roman" w:hAnsi="Times New Roman" w:cs="Times New Roman"/>
        </w:rPr>
      </w:lvl>
    </w:lvlOverride>
    <w:lvlOverride w:ilvl="7">
      <w:lvl w:ilvl="7">
        <w:start w:val="1"/>
        <w:numFmt w:val="decimal"/>
        <w:lvlText w:val="%1.%2.%3.%4.%5.%6.%7.%8."/>
        <w:legacy w:legacy="1" w:legacySpace="0" w:legacyIndent="0"/>
        <w:lvlJc w:val="left"/>
        <w:rPr>
          <w:rFonts w:ascii="Times New Roman" w:hAnsi="Times New Roman" w:cs="Times New Roman"/>
        </w:rPr>
      </w:lvl>
    </w:lvlOverride>
    <w:lvlOverride w:ilvl="8">
      <w:lvl w:ilvl="8">
        <w:start w:val="1"/>
        <w:numFmt w:val="decimal"/>
        <w:lvlText w:val="%1.%2.%3.%4.%5.%6.%7.%8.%9."/>
        <w:legacy w:legacy="1" w:legacySpace="120" w:legacyIndent="360"/>
        <w:lvlJc w:val="left"/>
        <w:rPr>
          <w:rFonts w:ascii="Times New Roman" w:hAnsi="Times New Roman"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8D4"/>
    <w:rsid w:val="009758D4"/>
    <w:rsid w:val="00AC28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8D4"/>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rsid w:val="009758D4"/>
    <w:rPr>
      <w:color w:val="0000FF"/>
      <w:u w:val="single"/>
    </w:rPr>
  </w:style>
  <w:style w:type="paragraph" w:customStyle="1" w:styleId="SubItem">
    <w:name w:val="SubItem"/>
    <w:basedOn w:val="Normal"/>
    <w:rsid w:val="009758D4"/>
    <w:pPr>
      <w:tabs>
        <w:tab w:val="num" w:pos="992"/>
      </w:tabs>
      <w:spacing w:before="240"/>
      <w:ind w:left="992" w:hanging="567"/>
    </w:pPr>
    <w:rPr>
      <w:rFonts w:ascii="Arial" w:hAnsi="Arial"/>
    </w:rPr>
  </w:style>
  <w:style w:type="paragraph" w:customStyle="1" w:styleId="ListParagraph">
    <w:name w:val="List Paragraph"/>
    <w:basedOn w:val="Normal"/>
    <w:rsid w:val="009758D4"/>
    <w:pPr>
      <w:suppressAutoHyphens/>
      <w:ind w:left="72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8D4"/>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rsid w:val="009758D4"/>
    <w:rPr>
      <w:color w:val="0000FF"/>
      <w:u w:val="single"/>
    </w:rPr>
  </w:style>
  <w:style w:type="paragraph" w:customStyle="1" w:styleId="SubItem">
    <w:name w:val="SubItem"/>
    <w:basedOn w:val="Normal"/>
    <w:rsid w:val="009758D4"/>
    <w:pPr>
      <w:tabs>
        <w:tab w:val="num" w:pos="992"/>
      </w:tabs>
      <w:spacing w:before="240"/>
      <w:ind w:left="992" w:hanging="567"/>
    </w:pPr>
    <w:rPr>
      <w:rFonts w:ascii="Arial" w:hAnsi="Arial"/>
    </w:rPr>
  </w:style>
  <w:style w:type="paragraph" w:customStyle="1" w:styleId="ListParagraph">
    <w:name w:val="List Paragraph"/>
    <w:basedOn w:val="Normal"/>
    <w:rsid w:val="009758D4"/>
    <w:pPr>
      <w:suppressAutoHyphens/>
      <w:ind w:left="7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548</Words>
  <Characters>2960</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dc:description/>
  <cp:lastModifiedBy>Renato José da Silva Isacksson</cp:lastModifiedBy>
  <cp:revision>1</cp:revision>
  <cp:lastPrinted>2014-10-20T18:42:00Z</cp:lastPrinted>
  <dcterms:created xsi:type="dcterms:W3CDTF">2014-10-20T18:24:00Z</dcterms:created>
  <dcterms:modified xsi:type="dcterms:W3CDTF">2014-10-20T18:43:00Z</dcterms:modified>
</cp:coreProperties>
</file>